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文星简黑体" w:hAnsi="黑体" w:eastAsia="文星简黑体"/>
          <w:b/>
          <w:bCs/>
          <w:sz w:val="44"/>
          <w:szCs w:val="44"/>
          <w:lang w:val="en-US" w:eastAsia="zh-CN"/>
        </w:rPr>
      </w:pPr>
      <w:bookmarkStart w:id="0" w:name="_Toc13926"/>
      <w:bookmarkStart w:id="1" w:name="_Toc13178"/>
      <w:bookmarkStart w:id="2" w:name="_Toc10057"/>
      <w:bookmarkStart w:id="3" w:name="_Toc397505036"/>
      <w:bookmarkStart w:id="4" w:name="_Toc24549"/>
      <w:r>
        <w:rPr>
          <w:rFonts w:hint="eastAsia" w:ascii="文星简黑体" w:hAnsi="黑体" w:eastAsia="文星简黑体"/>
          <w:b/>
          <w:bCs/>
          <w:sz w:val="44"/>
          <w:szCs w:val="44"/>
        </w:rPr>
        <w:t>202</w:t>
      </w:r>
      <w:r>
        <w:rPr>
          <w:rFonts w:hint="eastAsia" w:ascii="文星简黑体" w:hAnsi="黑体" w:eastAsia="文星简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文星简黑体" w:hAnsi="黑体" w:eastAsia="文星简黑体"/>
          <w:b/>
          <w:bCs/>
          <w:sz w:val="44"/>
          <w:szCs w:val="44"/>
        </w:rPr>
        <w:t>年</w:t>
      </w:r>
      <w:r>
        <w:rPr>
          <w:rFonts w:hint="eastAsia" w:ascii="文星简黑体" w:hAnsi="黑体" w:eastAsia="文星简黑体"/>
          <w:b/>
          <w:bCs/>
          <w:sz w:val="44"/>
          <w:szCs w:val="44"/>
          <w:lang w:eastAsia="zh-CN"/>
        </w:rPr>
        <w:t>残疾儿童康复训练补助</w:t>
      </w:r>
    </w:p>
    <w:p>
      <w:pPr>
        <w:spacing w:line="580" w:lineRule="exact"/>
        <w:jc w:val="center"/>
        <w:rPr>
          <w:rFonts w:ascii="文星简黑体" w:eastAsia="文星简黑体"/>
          <w:b/>
          <w:bCs/>
          <w:sz w:val="44"/>
          <w:szCs w:val="44"/>
        </w:rPr>
      </w:pPr>
      <w:r>
        <w:rPr>
          <w:rFonts w:hint="eastAsia" w:ascii="文星简黑体" w:eastAsia="文星简黑体" w:cs="文星简黑体"/>
          <w:b/>
          <w:bCs/>
          <w:sz w:val="44"/>
          <w:szCs w:val="44"/>
        </w:rPr>
        <w:t>事前绩效评估报告</w:t>
      </w:r>
    </w:p>
    <w:p>
      <w:pPr>
        <w:pStyle w:val="3"/>
        <w:ind w:left="0" w:leftChars="0" w:firstLine="0" w:firstLineChars="0"/>
        <w:rPr>
          <w:rFonts w:hint="eastAsia"/>
        </w:rPr>
      </w:pPr>
      <w:bookmarkStart w:id="23" w:name="_GoBack"/>
      <w:bookmarkEnd w:id="23"/>
    </w:p>
    <w:p>
      <w:pPr>
        <w:pStyle w:val="3"/>
        <w:ind w:left="0" w:leftChars="0" w:firstLine="640" w:firstLineChars="200"/>
      </w:pPr>
      <w:r>
        <w:rPr>
          <w:rFonts w:hint="eastAsia"/>
        </w:rPr>
        <w:t>一、</w:t>
      </w:r>
      <w:bookmarkEnd w:id="0"/>
      <w:bookmarkEnd w:id="1"/>
      <w:bookmarkEnd w:id="2"/>
      <w:bookmarkEnd w:id="3"/>
      <w:r>
        <w:rPr>
          <w:rFonts w:hint="eastAsia"/>
        </w:rPr>
        <w:t>评估对象</w:t>
      </w:r>
      <w:bookmarkEnd w:id="4"/>
    </w:p>
    <w:p>
      <w:pPr>
        <w:pStyle w:val="4"/>
        <w:ind w:firstLine="640"/>
        <w:jc w:val="both"/>
      </w:pPr>
      <w:bookmarkStart w:id="5" w:name="_Toc13239"/>
      <w:bookmarkStart w:id="6" w:name="_Toc5998"/>
      <w:bookmarkStart w:id="7" w:name="_Toc17932"/>
      <w:r>
        <w:rPr>
          <w:rFonts w:hint="eastAsia"/>
        </w:rPr>
        <w:t>（一）</w:t>
      </w:r>
      <w:bookmarkEnd w:id="5"/>
      <w:bookmarkEnd w:id="6"/>
      <w:r>
        <w:rPr>
          <w:rFonts w:hint="eastAsia"/>
        </w:rPr>
        <w:t>项目名称</w:t>
      </w:r>
      <w:bookmarkEnd w:id="7"/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残疾儿童康复训练补助</w:t>
      </w:r>
      <w:r>
        <w:rPr>
          <w:rFonts w:hint="eastAsia" w:ascii="仿宋" w:hAnsi="仿宋" w:eastAsia="仿宋" w:cs="仿宋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区社会事务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服务中心承办。</w:t>
      </w:r>
    </w:p>
    <w:p>
      <w:pPr>
        <w:pStyle w:val="4"/>
        <w:ind w:firstLine="640"/>
      </w:pPr>
      <w:bookmarkStart w:id="8" w:name="_Toc1184"/>
      <w:bookmarkStart w:id="9" w:name="_Toc6967"/>
      <w:bookmarkStart w:id="10" w:name="_Toc32292"/>
      <w:bookmarkStart w:id="11" w:name="_Toc21326"/>
      <w:r>
        <w:rPr>
          <w:rFonts w:hint="eastAsia"/>
        </w:rPr>
        <w:t>（二）项目</w:t>
      </w:r>
      <w:bookmarkEnd w:id="8"/>
      <w:bookmarkEnd w:id="9"/>
      <w:r>
        <w:rPr>
          <w:rFonts w:hint="eastAsia"/>
        </w:rPr>
        <w:t>绩效目标</w:t>
      </w:r>
      <w:bookmarkEnd w:id="10"/>
    </w:p>
    <w:p>
      <w:pPr>
        <w:pStyle w:val="4"/>
        <w:ind w:firstLine="640"/>
      </w:pPr>
      <w:bookmarkStart w:id="12" w:name="_Toc13988"/>
      <w:r>
        <w:rPr>
          <w:rFonts w:hint="eastAsia"/>
        </w:rPr>
        <w:t>1.总体绩效目标</w:t>
      </w:r>
      <w:bookmarkEnd w:id="12"/>
    </w:p>
    <w:p>
      <w:pPr>
        <w:overflowPunct/>
        <w:autoSpaceDE/>
        <w:autoSpaceDN/>
        <w:snapToGrid w:val="0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lang w:eastAsia="zh-CN"/>
        </w:rPr>
      </w:pPr>
      <w:bookmarkStart w:id="13" w:name="_Toc18811"/>
      <w:r>
        <w:rPr>
          <w:rFonts w:hint="eastAsia" w:ascii="仿宋" w:hAnsi="仿宋" w:eastAsia="仿宋" w:cs="仿宋"/>
          <w:sz w:val="32"/>
        </w:rPr>
        <w:t>通过该项目的实施，</w:t>
      </w:r>
      <w:r>
        <w:rPr>
          <w:rFonts w:hint="eastAsia" w:ascii="仿宋" w:hAnsi="仿宋" w:eastAsia="仿宋" w:cs="仿宋"/>
          <w:sz w:val="32"/>
          <w:lang w:eastAsia="zh-CN"/>
        </w:rPr>
        <w:t>提升残疾儿童参与社会生活的能力。</w:t>
      </w:r>
    </w:p>
    <w:p>
      <w:pPr>
        <w:pStyle w:val="4"/>
        <w:ind w:firstLine="64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2.年度绩效目标</w:t>
      </w:r>
      <w:bookmarkEnd w:id="13"/>
    </w:p>
    <w:p>
      <w:pPr>
        <w:overflowPunct/>
        <w:autoSpaceDE/>
        <w:autoSpaceDN/>
        <w:snapToGri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14" w:name="_Toc6772"/>
      <w:bookmarkStart w:id="15" w:name="_Toc3273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1名残疾儿童康复机构参加康复训练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ind w:firstLine="640"/>
      </w:pPr>
      <w:r>
        <w:rPr>
          <w:rFonts w:hint="eastAsia"/>
        </w:rPr>
        <w:t>（三）项目资金构成</w:t>
      </w:r>
    </w:p>
    <w:tbl>
      <w:tblPr>
        <w:tblStyle w:val="8"/>
        <w:tblpPr w:leftFromText="180" w:rightFromText="180" w:vertAnchor="text" w:horzAnchor="page" w:tblpXSpec="center" w:tblpY="862"/>
        <w:tblOverlap w:val="never"/>
        <w:tblW w:w="8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404"/>
        <w:gridCol w:w="1140"/>
        <w:gridCol w:w="1728"/>
        <w:gridCol w:w="105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项目支出预算及测算依据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项目资金来源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总投资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本年安排投资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财政拨款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市级资金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区级资金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其他资金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项目支出细</w:t>
            </w:r>
          </w:p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预算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项目支出明细预算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总投资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本年安排投资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残疾儿童康复训练费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残疾儿童交通和生活补贴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overflowPunct/>
              <w:autoSpaceDE/>
              <w:autoSpaceDN/>
              <w:spacing w:line="580" w:lineRule="exact"/>
              <w:jc w:val="both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ind w:firstLine="480" w:firstLineChars="200"/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项目测算依据及说明</w:t>
            </w:r>
          </w:p>
        </w:tc>
        <w:tc>
          <w:tcPr>
            <w:tcW w:w="5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spacing w:line="580" w:lineRule="exact"/>
              <w:textAlignment w:val="top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根据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残疾儿童康复训练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往年经费使用情况</w:t>
            </w:r>
          </w:p>
        </w:tc>
      </w:tr>
      <w:bookmarkEnd w:id="11"/>
      <w:bookmarkEnd w:id="14"/>
      <w:bookmarkEnd w:id="15"/>
    </w:tbl>
    <w:p>
      <w:pPr>
        <w:pStyle w:val="5"/>
        <w:ind w:firstLine="640"/>
        <w:rPr>
          <w:rFonts w:hint="eastAsia" w:ascii="黑体" w:hAnsi="黑体" w:eastAsia="黑体" w:cs="黑体"/>
        </w:rPr>
      </w:pPr>
      <w:bookmarkStart w:id="16" w:name="_Toc11489"/>
      <w:bookmarkStart w:id="17" w:name="_Toc3130"/>
      <w:bookmarkStart w:id="18" w:name="_Toc413586940"/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事前绩效评估结果及应用</w:t>
      </w:r>
    </w:p>
    <w:p>
      <w:pPr>
        <w:pStyle w:val="10"/>
        <w:ind w:firstLine="64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评估结论分为</w:t>
      </w:r>
      <w:r>
        <w:rPr>
          <w:rFonts w:hint="eastAsia" w:ascii="仿宋" w:hAnsi="仿宋" w:eastAsia="仿宋" w:cs="仿宋"/>
          <w:u w:val="single"/>
        </w:rPr>
        <w:t>予以支持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u w:val="single"/>
        </w:rPr>
        <w:t>部分支持</w:t>
      </w:r>
      <w:r>
        <w:rPr>
          <w:rFonts w:hint="eastAsia" w:ascii="仿宋" w:hAnsi="仿宋" w:eastAsia="仿宋" w:cs="仿宋"/>
        </w:rPr>
        <w:t>和</w:t>
      </w:r>
      <w:r>
        <w:rPr>
          <w:rFonts w:hint="eastAsia" w:ascii="仿宋" w:hAnsi="仿宋" w:eastAsia="仿宋" w:cs="仿宋"/>
          <w:u w:val="single"/>
        </w:rPr>
        <w:t>不予支持</w:t>
      </w:r>
      <w:r>
        <w:rPr>
          <w:rFonts w:hint="eastAsia" w:ascii="仿宋" w:hAnsi="仿宋" w:eastAsia="仿宋" w:cs="仿宋"/>
        </w:rPr>
        <w:t>三种。对于立项必要性充分、实施方案可行性强、绩效目标明确合理、投入产出比高的项目予以支持；对于项目在部分内容上，立项必要性充分、实施方案可行性强、绩效目标明确合理、投入产出比高的项目，可予以部分支持；对于立项必要性不够充分、实施方案可行性不强，绩效目标不够明确合理、投入产出比较低或不属于财政支持范围的项目，应不予支持。</w:t>
      </w:r>
    </w:p>
    <w:bookmarkEnd w:id="16"/>
    <w:bookmarkEnd w:id="17"/>
    <w:p>
      <w:pPr>
        <w:pStyle w:val="6"/>
      </w:pPr>
      <w:bookmarkStart w:id="19" w:name="_Toc5147"/>
      <w:bookmarkStart w:id="20" w:name="_Toc7500"/>
      <w:bookmarkStart w:id="21" w:name="_Toc464"/>
    </w:p>
    <w:p>
      <w:pPr>
        <w:pStyle w:val="3"/>
        <w:ind w:firstLine="640"/>
      </w:pPr>
      <w:bookmarkStart w:id="22" w:name="_Toc32525"/>
      <w:r>
        <w:rPr>
          <w:rFonts w:hint="eastAsia"/>
          <w:lang w:eastAsia="zh-CN"/>
        </w:rPr>
        <w:t>三</w:t>
      </w:r>
      <w:r>
        <w:rPr>
          <w:rFonts w:hint="eastAsia"/>
        </w:rPr>
        <w:t>、</w:t>
      </w:r>
      <w:bookmarkEnd w:id="19"/>
      <w:bookmarkEnd w:id="20"/>
      <w:bookmarkEnd w:id="21"/>
      <w:r>
        <w:rPr>
          <w:rFonts w:hint="eastAsia"/>
        </w:rPr>
        <w:t>评估的相关建议</w:t>
      </w:r>
      <w:bookmarkEnd w:id="22"/>
    </w:p>
    <w:p>
      <w:pPr>
        <w:pStyle w:val="10"/>
        <w:ind w:firstLine="64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本预算项目设立依据充分，具有实施的必要性，符合财政支持的发展类项目要求</w:t>
      </w:r>
      <w:r>
        <w:rPr>
          <w:rFonts w:hint="eastAsia" w:ascii="仿宋" w:hAnsi="仿宋" w:eastAsia="仿宋" w:cs="仿宋"/>
          <w:lang w:eastAsia="zh-CN"/>
        </w:rPr>
        <w:t>，予以支持</w:t>
      </w:r>
      <w:r>
        <w:rPr>
          <w:rFonts w:hint="eastAsia" w:ascii="仿宋" w:hAnsi="仿宋" w:eastAsia="仿宋" w:cs="仿宋"/>
        </w:rPr>
        <w:t>。该项目的实施，</w:t>
      </w:r>
      <w:r>
        <w:rPr>
          <w:rFonts w:hint="eastAsia" w:ascii="仿宋" w:hAnsi="仿宋" w:eastAsia="仿宋" w:cs="仿宋"/>
          <w:lang w:eastAsia="zh-CN"/>
        </w:rPr>
        <w:t>将对提升残疾儿童参与社会活动</w:t>
      </w:r>
      <w:r>
        <w:rPr>
          <w:rFonts w:hint="eastAsia" w:ascii="仿宋" w:hAnsi="仿宋" w:eastAsia="仿宋" w:cs="仿宋"/>
        </w:rPr>
        <w:t>起到一定的推动作用。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区社会事务服务中心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2021年8月20日</w:t>
      </w:r>
    </w:p>
    <w:bookmarkEnd w:id="18"/>
    <w:p>
      <w:pPr>
        <w:pStyle w:val="6"/>
      </w:pPr>
    </w:p>
    <w:p>
      <w:pPr>
        <w:pStyle w:val="6"/>
      </w:pPr>
    </w:p>
    <w:p>
      <w:pPr>
        <w:pStyle w:val="6"/>
      </w:pPr>
    </w:p>
    <w:p/>
    <w:sectPr>
      <w:footerReference r:id="rId3" w:type="default"/>
      <w:pgSz w:w="11907" w:h="16840"/>
      <w:pgMar w:top="1080" w:right="1440" w:bottom="1080" w:left="1440" w:header="851" w:footer="397" w:gutter="567"/>
      <w:pgNumType w:start="1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PGZztEAAAADAQAADwAAAAAAAAABACAAAAAiAAAAZHJzL2Rvd25yZXYu&#10;eG1sUEsBAhQAFAAAAAgAh07iQOv0mBD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04CD6"/>
    <w:rsid w:val="170E543C"/>
    <w:rsid w:val="30292F65"/>
    <w:rsid w:val="3E9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80" w:lineRule="exact"/>
      <w:ind w:firstLine="883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580" w:lineRule="exact"/>
      <w:ind w:firstLine="883" w:firstLineChars="200"/>
      <w:outlineLvl w:val="2"/>
    </w:pPr>
    <w:rPr>
      <w:rFonts w:ascii="KaiTi_GB2312" w:hAnsi="KaiTi_GB2312" w:eastAsia="KaiTi_GB2312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580" w:lineRule="exact"/>
      <w:ind w:firstLine="883" w:firstLineChars="200"/>
      <w:outlineLvl w:val="3"/>
    </w:pPr>
    <w:rPr>
      <w:rFonts w:ascii="KaiTi_GB2312" w:hAnsi="KaiTi_GB2312" w:eastAsia="KaiTi_GB2312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rPr>
      <w:rFonts w:ascii="Calibri" w:hAnsi="Calibri"/>
      <w:sz w:val="18"/>
      <w:szCs w:val="18"/>
    </w:rPr>
  </w:style>
  <w:style w:type="paragraph" w:styleId="6">
    <w:name w:val="Body Text"/>
    <w:basedOn w:val="1"/>
    <w:qFormat/>
    <w:uiPriority w:val="0"/>
    <w:pPr>
      <w:keepNext/>
      <w:snapToGrid w:val="0"/>
    </w:pPr>
    <w:rPr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绩效正文"/>
    <w:basedOn w:val="11"/>
    <w:next w:val="1"/>
    <w:qFormat/>
    <w:uiPriority w:val="0"/>
    <w:pPr>
      <w:spacing w:line="580" w:lineRule="exact"/>
      <w:ind w:firstLine="1040" w:firstLineChars="200"/>
    </w:pPr>
    <w:rPr>
      <w:rFonts w:ascii="FangSong_GB2312" w:hAnsi="FangSong_GB2312" w:eastAsia="FangSong_GB2312"/>
      <w:sz w:val="32"/>
    </w:rPr>
  </w:style>
  <w:style w:type="paragraph" w:customStyle="1" w:styleId="11">
    <w:name w:val="p0"/>
    <w:basedOn w:val="1"/>
    <w:qFormat/>
    <w:uiPriority w:val="0"/>
    <w:pPr>
      <w:adjustRightInd/>
      <w:textAlignment w:val="auto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2021-12-21T06:58:00Z</dcterms:created>
  <dc:creator>Delete……</dc:creator>
  <cp:lastModifiedBy>Delete……</cp:lastModifiedBy>
  <cp:lastPrinted>2021-12-21T07:18:28Z</cp:lastPrinted>
  <dcterms:modified xsi:type="dcterms:W3CDTF">2021-12-21T07:18:33Z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9DADC4B1DD784C23BEFA8C37DD5A8E11</vt:lpwstr>
  </property>
</Properties>
</file>